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b/>
          <w:color w:val="1F4E79"/>
          <w:sz w:val="30"/>
        </w:rPr>
        <w:t>COUN 534: Counseling Children &amp; Adolescents</w:t>
      </w:r>
    </w:p>
    <w:p>
      <w:pPr>
        <w:spacing w:after="100"/>
        <w:jc w:val="center"/>
      </w:pPr>
      <w:r>
        <w:rPr>
          <w:b/>
        </w:rPr>
        <w:t>Condensed Course Syllabus | Fall 2026</w:t>
        <w:br/>
        <w:t>Online Web-Based Course</w:t>
      </w:r>
    </w:p>
    <w:p>
      <w:pPr>
        <w:spacing w:before="100" w:after="20"/>
      </w:pPr>
      <w:r>
        <w:rPr>
          <w:b/>
          <w:color w:val="1F4E79"/>
          <w:sz w:val="21"/>
        </w:rPr>
        <w:t>INSTRUCTOR INFORMATION</w:t>
      </w:r>
    </w:p>
    <w:tbl>
      <w:tblPr>
        <w:tblStyle w:val="TableGrid"/>
        <w:tblW w:type="auto" w:w="0"/>
        <w:jc w:val="center"/>
        <w:tblLook w:firstColumn="1" w:firstRow="1" w:lastColumn="0" w:lastRow="0" w:noHBand="0" w:noVBand="1" w:val="04A0"/>
      </w:tblPr>
      <w:tblGrid>
        <w:gridCol w:w="5256"/>
        <w:gridCol w:w="5256"/>
      </w:tblGrid>
      <w:tr>
        <w:tc>
          <w:tcPr>
            <w:tcW w:type="dxa" w:w="5256"/>
          </w:tcPr>
          <w:p>
            <w:r>
              <w:rPr>
                <w:b/>
              </w:rPr>
              <w:t>Instructor</w:t>
            </w:r>
          </w:p>
        </w:tc>
        <w:tc>
          <w:tcPr>
            <w:tcW w:type="dxa" w:w="5256"/>
          </w:tcPr>
          <w:p>
            <w:r>
              <w:t>Dr. Carrie Jones, PhD, LPC</w:t>
            </w:r>
          </w:p>
        </w:tc>
      </w:tr>
      <w:tr>
        <w:tc>
          <w:tcPr>
            <w:tcW w:type="dxa" w:w="5256"/>
          </w:tcPr>
          <w:p>
            <w:r>
              <w:rPr>
                <w:b/>
              </w:rPr>
              <w:t>Office / Hours</w:t>
            </w:r>
          </w:p>
        </w:tc>
        <w:tc>
          <w:tcPr>
            <w:tcW w:type="dxa" w:w="5256"/>
          </w:tcPr>
          <w:p>
            <w:r>
              <w:t>Virtual | By appointment only</w:t>
            </w:r>
          </w:p>
        </w:tc>
      </w:tr>
      <w:tr>
        <w:tc>
          <w:tcPr>
            <w:tcW w:type="dxa" w:w="5256"/>
          </w:tcPr>
          <w:p>
            <w:r>
              <w:rPr>
                <w:b/>
              </w:rPr>
              <w:t>Email / Response</w:t>
            </w:r>
          </w:p>
        </w:tc>
        <w:tc>
          <w:tcPr>
            <w:tcW w:type="dxa" w:w="5256"/>
          </w:tcPr>
          <w:p>
            <w:r>
              <w:t>Carrie.Jones@etamu.edu | Email preferred; generally 24-48 hours Monday-Friday</w:t>
            </w:r>
          </w:p>
        </w:tc>
      </w:tr>
    </w:tbl>
    <w:p>
      <w:pPr>
        <w:spacing w:before="100" w:after="20"/>
      </w:pPr>
      <w:r>
        <w:rPr>
          <w:b/>
          <w:color w:val="1F4E79"/>
          <w:sz w:val="21"/>
        </w:rPr>
        <w:t>COURSE INFORMATION</w:t>
      </w:r>
    </w:p>
    <w:p>
      <w:r>
        <w:t>Catalog Description: Prepares counselors to address the specific needs of children and adolescents, emphasizing developmental needs, therapeutic interventions, common emotional issues, individual and group counseling techniques, and treatment planning.</w:t>
      </w:r>
    </w:p>
    <w:p>
      <w:r>
        <w:t>This course is required for students pursuing a master's degree with a school counseling focus and for Texas school counselor certification; it is also designed for counselors working with children and adolescents in non-school settings.</w:t>
      </w:r>
    </w:p>
    <w:p>
      <w:r>
        <w:rPr>
          <w:b/>
        </w:rPr>
        <w:t xml:space="preserve">Required Text: </w:t>
      </w:r>
      <w:r>
        <w:t>Henderson, D., &amp; Thompson, C. L. (2016). Counseling Children (9th ed.). Cengage. The APA Publication Manual (7th ed.), ACA Code of Ethics, and supplemental readings are also identified in the full course materials. D2L is the course learning management system.</w:t>
      </w:r>
    </w:p>
    <w:p>
      <w:pPr>
        <w:spacing w:before="100" w:after="20"/>
      </w:pPr>
      <w:r>
        <w:rPr>
          <w:b/>
          <w:color w:val="1F4E79"/>
          <w:sz w:val="21"/>
        </w:rPr>
        <w:t>STUDENT LEARNING OUTCOMES / STANDARDS</w:t>
      </w:r>
    </w:p>
    <w:p>
      <w:r>
        <w:t>The syllabus identifies 2016 CACREP School Counseling standards and related TExES competencies. Major expectations include:</w:t>
      </w:r>
    </w:p>
    <w:p>
      <w:pPr>
        <w:pStyle w:val="ListBullet"/>
        <w:spacing w:after="0"/>
        <w:ind w:left="259"/>
      </w:pPr>
      <w:r>
        <w:t>5.G.2.g: Recognize characteristics, risk factors, and warning signs of students at risk for mental health and behavioral disorders.</w:t>
      </w:r>
    </w:p>
    <w:p>
      <w:pPr>
        <w:pStyle w:val="ListBullet"/>
        <w:spacing w:after="0"/>
        <w:ind w:left="259"/>
      </w:pPr>
      <w:r>
        <w:t>5.G.2.h: Understand common medications that affect learning, behavior, and mood in children and adolescents.</w:t>
      </w:r>
    </w:p>
    <w:p>
      <w:pPr>
        <w:pStyle w:val="ListBullet"/>
        <w:spacing w:after="0"/>
        <w:ind w:left="259"/>
      </w:pPr>
      <w:r>
        <w:t>5.G.2.i: Recognize signs and symptoms of substance abuse in youth and the effects of living in a home where substance use occurs.</w:t>
      </w:r>
    </w:p>
    <w:p>
      <w:pPr>
        <w:pStyle w:val="ListBullet"/>
        <w:spacing w:after="0"/>
        <w:ind w:left="259"/>
      </w:pPr>
      <w:r>
        <w:t>TExES competencies: Human Development, Student Diversity, Factors Affecting Students, Counseling, Assessment, Collaboration with Families, Collaboration with School/Community, and Professionalism.</w:t>
      </w:r>
    </w:p>
    <w:p>
      <w:pPr>
        <w:spacing w:before="100" w:after="20"/>
      </w:pPr>
      <w:r>
        <w:rPr>
          <w:b/>
          <w:color w:val="1F4E79"/>
          <w:sz w:val="21"/>
        </w:rPr>
        <w:t>CONTENT AREAS</w:t>
      </w:r>
    </w:p>
    <w:p>
      <w:r>
        <w:t>Child and adolescent development (including Piaget and Erikson); childhood/adolescent disorders and concerns such as depression and substance abuse; developmentally appropriate counseling theories and interventions, including child-centered, Adlerian, solution-focused, reality therapy, CBT, Gestalt, play/activity therapy, filial therapy, parent consultation, and group counseling; and legal/ethical concerns.</w:t>
      </w:r>
    </w:p>
    <w:p>
      <w:pPr>
        <w:spacing w:before="100" w:after="20"/>
      </w:pPr>
      <w:r>
        <w:rPr>
          <w:b/>
          <w:color w:val="1F4E79"/>
          <w:sz w:val="21"/>
        </w:rPr>
        <w:t>COURSE REQUIREMENTS &amp; STUDENT EXPECTATIONS</w:t>
      </w:r>
    </w:p>
    <w:p>
      <w:pPr>
        <w:pStyle w:val="ListBullet"/>
        <w:spacing w:after="0"/>
        <w:ind w:left="259"/>
      </w:pPr>
      <w:r>
        <w:t>Participate actively in D2L discussions, activities, readings, and other course learning experiences.</w:t>
      </w:r>
    </w:p>
    <w:p>
      <w:pPr>
        <w:pStyle w:val="ListBullet"/>
        <w:spacing w:after="0"/>
        <w:ind w:left="259"/>
      </w:pPr>
      <w:r>
        <w:t>Demonstrate professionalism, respectful communication, openness to feedback, and adherence to the university student code of conduct.</w:t>
      </w:r>
    </w:p>
    <w:p>
      <w:pPr>
        <w:pStyle w:val="ListBullet"/>
        <w:spacing w:after="0"/>
        <w:ind w:left="259"/>
      </w:pPr>
      <w:r>
        <w:t>Complete assigned readings and prepare for course activities.</w:t>
      </w:r>
    </w:p>
    <w:p>
      <w:pPr>
        <w:pStyle w:val="ListBullet"/>
        <w:spacing w:after="0"/>
        <w:ind w:left="259"/>
      </w:pPr>
      <w:r>
        <w:t>Use appropriate graduate-level writing and APA formatting as directed in the assignment instructions.</w:t>
      </w:r>
    </w:p>
    <w:p>
      <w:pPr>
        <w:pStyle w:val="ListBullet"/>
        <w:spacing w:after="0"/>
        <w:ind w:left="259"/>
      </w:pPr>
      <w:r>
        <w:t>Check university email regularly and communicate promptly with the instructor regarding questions or concerns.</w:t>
      </w:r>
    </w:p>
    <w:p>
      <w:pPr>
        <w:pStyle w:val="ListBullet"/>
        <w:spacing w:after="0"/>
        <w:ind w:left="259"/>
      </w:pPr>
      <w:r>
        <w:t>Maintain reliable computer/internet access and a backup plan for technology problems.</w:t>
      </w:r>
    </w:p>
    <w:p>
      <w:pPr>
        <w:spacing w:before="100" w:after="20"/>
      </w:pPr>
      <w:r>
        <w:rPr>
          <w:b/>
          <w:color w:val="1F4E79"/>
          <w:sz w:val="21"/>
        </w:rPr>
        <w:t>ASSIGNMENTS / ASSESSMENTS</w:t>
      </w:r>
    </w:p>
    <w:tbl>
      <w:tblPr>
        <w:tblStyle w:val="TableGrid"/>
        <w:tblW w:type="auto" w:w="0"/>
        <w:jc w:val="center"/>
        <w:tblLook w:firstColumn="1" w:firstRow="1" w:lastColumn="0" w:lastRow="0" w:noHBand="0" w:noVBand="1" w:val="04A0"/>
      </w:tblPr>
      <w:tblGrid>
        <w:gridCol w:w="3504"/>
        <w:gridCol w:w="3504"/>
        <w:gridCol w:w="3504"/>
      </w:tblGrid>
      <w:tr>
        <w:tc>
          <w:tcPr>
            <w:tcW w:type="dxa" w:w="3504"/>
            <w:shd w:fill="1F4E79"/>
          </w:tcPr>
          <w:p>
            <w:r>
              <w:rPr>
                <w:b/>
                <w:color w:val="FFFFFF"/>
              </w:rPr>
              <w:t>Assessment</w:t>
            </w:r>
          </w:p>
        </w:tc>
        <w:tc>
          <w:tcPr>
            <w:tcW w:type="dxa" w:w="3504"/>
            <w:shd w:fill="1F4E79"/>
          </w:tcPr>
          <w:p>
            <w:r>
              <w:rPr>
                <w:b/>
                <w:color w:val="FFFFFF"/>
              </w:rPr>
              <w:t>Points</w:t>
            </w:r>
          </w:p>
        </w:tc>
        <w:tc>
          <w:tcPr>
            <w:tcW w:type="dxa" w:w="3504"/>
            <w:shd w:fill="1F4E79"/>
          </w:tcPr>
          <w:p>
            <w:r>
              <w:rPr>
                <w:b/>
                <w:color w:val="FFFFFF"/>
              </w:rPr>
              <w:t>Condensed Description</w:t>
            </w:r>
          </w:p>
        </w:tc>
      </w:tr>
      <w:tr>
        <w:tc>
          <w:tcPr>
            <w:tcW w:type="dxa" w:w="3504"/>
          </w:tcPr>
          <w:p>
            <w:r>
              <w:t>Discussion Boards</w:t>
            </w:r>
          </w:p>
        </w:tc>
        <w:tc>
          <w:tcPr>
            <w:tcW w:type="dxa" w:w="3504"/>
          </w:tcPr>
          <w:p>
            <w:r>
              <w:t>40</w:t>
            </w:r>
          </w:p>
        </w:tc>
        <w:tc>
          <w:tcPr>
            <w:tcW w:type="dxa" w:w="3504"/>
          </w:tcPr>
          <w:p>
            <w:r>
              <w:t>Ten discussion boards worth 4 points each. Students provide thorough, thoughtful initial responses and respond to two classmates. Graduate-level writing and meaningful peer engagement are expected.</w:t>
            </w:r>
          </w:p>
        </w:tc>
      </w:tr>
      <w:tr>
        <w:tc>
          <w:tcPr>
            <w:tcW w:type="dxa" w:w="3504"/>
          </w:tcPr>
          <w:p>
            <w:r>
              <w:t>Children/Adolescent Special Topics Paper</w:t>
            </w:r>
          </w:p>
        </w:tc>
        <w:tc>
          <w:tcPr>
            <w:tcW w:type="dxa" w:w="3504"/>
          </w:tcPr>
          <w:p>
            <w:r>
              <w:t>20</w:t>
            </w:r>
          </w:p>
        </w:tc>
        <w:tc>
          <w:tcPr>
            <w:tcW w:type="dxa" w:w="3504"/>
          </w:tcPr>
          <w:p>
            <w:r>
              <w:t>An 8-10 page APA-formatted paper on a child/adolescent issue. Include a resource base, literature review/synthesis, an appropriate counseling theory, and a detailed age-appropriate counseling activity/experience connected to the selected theory.</w:t>
            </w:r>
          </w:p>
        </w:tc>
      </w:tr>
      <w:tr>
        <w:tc>
          <w:tcPr>
            <w:tcW w:type="dxa" w:w="3504"/>
          </w:tcPr>
          <w:p>
            <w:r>
              <w:t>Final Exam</w:t>
            </w:r>
          </w:p>
        </w:tc>
        <w:tc>
          <w:tcPr>
            <w:tcW w:type="dxa" w:w="3504"/>
          </w:tcPr>
          <w:p>
            <w:r>
              <w:t>40</w:t>
            </w:r>
          </w:p>
        </w:tc>
        <w:tc>
          <w:tcPr>
            <w:tcW w:type="dxa" w:w="3504"/>
          </w:tcPr>
          <w:p>
            <w:r>
              <w:t>Comprehensive exam consisting of 40 multiple-choice, true/false, and matching questions. Covers course readings, module materials, theoretical perspectives, and application to counseling practice.</w:t>
            </w:r>
          </w:p>
        </w:tc>
      </w:tr>
    </w:tbl>
    <w:p>
      <w:r>
        <w:t>Detailed assignment directions and rubrics remain in D2L. Assignment due dates are intentionally omitted from this condensed syllabus; students should follow dates posted in D2L and instructor announcements.</w:t>
      </w:r>
    </w:p>
    <w:p>
      <w:pPr>
        <w:spacing w:before="100" w:after="20"/>
      </w:pPr>
      <w:r>
        <w:rPr>
          <w:b/>
          <w:color w:val="1F4E79"/>
          <w:sz w:val="21"/>
        </w:rPr>
        <w:t>GRADING</w:t>
      </w:r>
    </w:p>
    <w:p>
      <w:r>
        <w:rPr>
          <w:b/>
        </w:rPr>
        <w:t>Total: 100 points | A = 90-100 | B = 80-89 | C = 70-79 | D = 60-69 | F = below 60</w:t>
      </w:r>
    </w:p>
    <w:p>
      <w:r>
        <w:t>Late work is handled according to course policy and instructor communication. Discussion Board posts cannot be accepted after the weekly discussion has closed.</w:t>
      </w:r>
    </w:p>
    <w:p>
      <w:pPr>
        <w:spacing w:before="100" w:after="20"/>
      </w:pPr>
      <w:r>
        <w:rPr>
          <w:b/>
          <w:color w:val="1F4E79"/>
          <w:sz w:val="21"/>
        </w:rPr>
        <w:t>ESSENTIAL COURSE / UNIVERSITY POLICIES</w:t>
      </w:r>
    </w:p>
    <w:p>
      <w:pPr>
        <w:pStyle w:val="ListBullet"/>
        <w:spacing w:after="0"/>
        <w:ind w:left="259"/>
      </w:pPr>
      <w:r>
        <w:t>Academic Integrity: Students are expected to maintain high standards of integrity and honesty in all scholastic work.</w:t>
      </w:r>
    </w:p>
    <w:p>
      <w:pPr>
        <w:pStyle w:val="ListBullet"/>
        <w:spacing w:after="0"/>
        <w:ind w:left="259"/>
      </w:pPr>
      <w:r>
        <w:t>Professional Conduct &amp; Netiquette: Students must follow university conduct expectations and communicate respectfully in online learning environments.</w:t>
      </w:r>
    </w:p>
    <w:p>
      <w:pPr>
        <w:pStyle w:val="ListBullet"/>
        <w:spacing w:after="0"/>
        <w:ind w:left="259"/>
      </w:pPr>
      <w:r>
        <w:t>Accessibility: Students requiring accommodations should work through the university's Student Disability Resources and Services process.</w:t>
      </w:r>
    </w:p>
    <w:p>
      <w:pPr>
        <w:pStyle w:val="ListBullet"/>
        <w:spacing w:after="0"/>
        <w:ind w:left="259"/>
      </w:pPr>
      <w:r>
        <w:t>Technology &amp; D2L: Students need dependable internet/computer access and should contact technical support promptly when problems arise.</w:t>
      </w:r>
    </w:p>
    <w:p>
      <w:pPr>
        <w:pStyle w:val="ListBullet"/>
        <w:spacing w:after="0"/>
        <w:ind w:left="259"/>
      </w:pPr>
      <w:r>
        <w:t>Student Support: University counseling and student support resources are available to enrolled students.</w:t>
      </w:r>
    </w:p>
    <w:p>
      <w:pPr>
        <w:pStyle w:val="ListBullet"/>
        <w:spacing w:after="0"/>
        <w:ind w:left="259"/>
      </w:pPr>
      <w:r>
        <w:t>Syllabus Changes: The syllabus and schedule are guides and may be modified by the instructor; changes will be announced.</w:t>
      </w:r>
    </w:p>
    <w:p>
      <w:pPr>
        <w:spacing w:before="100" w:after="20"/>
      </w:pPr>
      <w:r>
        <w:rPr>
          <w:b/>
          <w:color w:val="1F4E79"/>
          <w:sz w:val="21"/>
        </w:rPr>
        <w:t>COURSE OUTLINE / CALENDAR</w:t>
      </w:r>
    </w:p>
    <w:tbl>
      <w:tblPr>
        <w:tblStyle w:val="TableGrid"/>
        <w:tblW w:type="auto" w:w="0"/>
        <w:jc w:val="center"/>
        <w:tblLook w:firstColumn="1" w:firstRow="1" w:lastColumn="0" w:lastRow="0" w:noHBand="0" w:noVBand="1" w:val="04A0"/>
      </w:tblPr>
      <w:tblGrid>
        <w:gridCol w:w="3504"/>
        <w:gridCol w:w="3504"/>
        <w:gridCol w:w="3504"/>
      </w:tblGrid>
      <w:tr>
        <w:tc>
          <w:tcPr>
            <w:tcW w:type="dxa" w:w="3504"/>
            <w:shd w:fill="1F4E79"/>
          </w:tcPr>
          <w:p>
            <w:r>
              <w:rPr>
                <w:b/>
                <w:color w:val="FFFFFF"/>
              </w:rPr>
              <w:t>Week</w:t>
            </w:r>
          </w:p>
        </w:tc>
        <w:tc>
          <w:tcPr>
            <w:tcW w:type="dxa" w:w="3504"/>
            <w:shd w:fill="1F4E79"/>
          </w:tcPr>
          <w:p>
            <w:r>
              <w:rPr>
                <w:b/>
                <w:color w:val="FFFFFF"/>
              </w:rPr>
              <w:t>Topic</w:t>
            </w:r>
          </w:p>
        </w:tc>
        <w:tc>
          <w:tcPr>
            <w:tcW w:type="dxa" w:w="3504"/>
            <w:shd w:fill="1F4E79"/>
          </w:tcPr>
          <w:p>
            <w:r>
              <w:rPr>
                <w:b/>
                <w:color w:val="FFFFFF"/>
              </w:rPr>
              <w:t>Reading</w:t>
            </w:r>
          </w:p>
        </w:tc>
      </w:tr>
      <w:tr>
        <w:tc>
          <w:tcPr>
            <w:tcW w:type="dxa" w:w="3504"/>
          </w:tcPr>
          <w:p>
            <w:r>
              <w:t>1</w:t>
            </w:r>
          </w:p>
        </w:tc>
        <w:tc>
          <w:tcPr>
            <w:tcW w:type="dxa" w:w="3504"/>
          </w:tcPr>
          <w:p>
            <w:r>
              <w:t>Course Overview/Syllabus Review; Introductions/Wellness Check-in; Introduction to a Child's World</w:t>
            </w:r>
          </w:p>
        </w:tc>
        <w:tc>
          <w:tcPr>
            <w:tcW w:type="dxa" w:w="3504"/>
          </w:tcPr>
          <w:p>
            <w:r>
              <w:t>Ch. 1</w:t>
            </w:r>
          </w:p>
        </w:tc>
      </w:tr>
      <w:tr>
        <w:tc>
          <w:tcPr>
            <w:tcW w:type="dxa" w:w="3504"/>
          </w:tcPr>
          <w:p>
            <w:r>
              <w:t>2</w:t>
            </w:r>
          </w:p>
        </w:tc>
        <w:tc>
          <w:tcPr>
            <w:tcW w:type="dxa" w:w="3504"/>
          </w:tcPr>
          <w:p>
            <w:r>
              <w:t>Child/Adolescent Development &amp; Cultural Considerations</w:t>
            </w:r>
          </w:p>
        </w:tc>
        <w:tc>
          <w:tcPr>
            <w:tcW w:type="dxa" w:w="3504"/>
          </w:tcPr>
          <w:p>
            <w:r>
              <w:t>Ch. 2</w:t>
            </w:r>
          </w:p>
        </w:tc>
      </w:tr>
      <w:tr>
        <w:tc>
          <w:tcPr>
            <w:tcW w:type="dxa" w:w="3504"/>
          </w:tcPr>
          <w:p>
            <w:r>
              <w:t>3</w:t>
            </w:r>
          </w:p>
        </w:tc>
        <w:tc>
          <w:tcPr>
            <w:tcW w:type="dxa" w:w="3504"/>
          </w:tcPr>
          <w:p>
            <w:r>
              <w:t>The Counseling Process</w:t>
            </w:r>
          </w:p>
        </w:tc>
        <w:tc>
          <w:tcPr>
            <w:tcW w:type="dxa" w:w="3504"/>
          </w:tcPr>
          <w:p>
            <w:r>
              <w:t>Ch. 3</w:t>
            </w:r>
          </w:p>
        </w:tc>
      </w:tr>
      <w:tr>
        <w:tc>
          <w:tcPr>
            <w:tcW w:type="dxa" w:w="3504"/>
          </w:tcPr>
          <w:p>
            <w:r>
              <w:t>4</w:t>
            </w:r>
          </w:p>
        </w:tc>
        <w:tc>
          <w:tcPr>
            <w:tcW w:type="dxa" w:w="3504"/>
          </w:tcPr>
          <w:p>
            <w:r>
              <w:t>Legal and Ethical Considerations for Counselors</w:t>
            </w:r>
          </w:p>
        </w:tc>
        <w:tc>
          <w:tcPr>
            <w:tcW w:type="dxa" w:w="3504"/>
          </w:tcPr>
          <w:p>
            <w:r>
              <w:t>Ch. 4</w:t>
            </w:r>
          </w:p>
        </w:tc>
      </w:tr>
      <w:tr>
        <w:tc>
          <w:tcPr>
            <w:tcW w:type="dxa" w:w="3504"/>
          </w:tcPr>
          <w:p>
            <w:r>
              <w:t>5</w:t>
            </w:r>
          </w:p>
        </w:tc>
        <w:tc>
          <w:tcPr>
            <w:tcW w:type="dxa" w:w="3504"/>
          </w:tcPr>
          <w:p>
            <w:r>
              <w:t>Child-Centered Counseling</w:t>
            </w:r>
          </w:p>
        </w:tc>
        <w:tc>
          <w:tcPr>
            <w:tcW w:type="dxa" w:w="3504"/>
          </w:tcPr>
          <w:p>
            <w:r>
              <w:t>Ch. 6</w:t>
            </w:r>
          </w:p>
        </w:tc>
      </w:tr>
      <w:tr>
        <w:tc>
          <w:tcPr>
            <w:tcW w:type="dxa" w:w="3504"/>
          </w:tcPr>
          <w:p>
            <w:r>
              <w:t>6</w:t>
            </w:r>
          </w:p>
        </w:tc>
        <w:tc>
          <w:tcPr>
            <w:tcW w:type="dxa" w:w="3504"/>
          </w:tcPr>
          <w:p>
            <w:r>
              <w:t>Gestalt Counseling</w:t>
            </w:r>
          </w:p>
        </w:tc>
        <w:tc>
          <w:tcPr>
            <w:tcW w:type="dxa" w:w="3504"/>
          </w:tcPr>
          <w:p>
            <w:r>
              <w:t>Ch. 7</w:t>
            </w:r>
          </w:p>
        </w:tc>
      </w:tr>
      <w:tr>
        <w:tc>
          <w:tcPr>
            <w:tcW w:type="dxa" w:w="3504"/>
          </w:tcPr>
          <w:p>
            <w:r>
              <w:t>7</w:t>
            </w:r>
          </w:p>
        </w:tc>
        <w:tc>
          <w:tcPr>
            <w:tcW w:type="dxa" w:w="3504"/>
          </w:tcPr>
          <w:p>
            <w:r>
              <w:t>Adlerian (Individual) Counseling</w:t>
            </w:r>
          </w:p>
        </w:tc>
        <w:tc>
          <w:tcPr>
            <w:tcW w:type="dxa" w:w="3504"/>
          </w:tcPr>
          <w:p>
            <w:r>
              <w:t>Ch. 11</w:t>
            </w:r>
          </w:p>
        </w:tc>
      </w:tr>
      <w:tr>
        <w:tc>
          <w:tcPr>
            <w:tcW w:type="dxa" w:w="3504"/>
          </w:tcPr>
          <w:p>
            <w:r>
              <w:t>8</w:t>
            </w:r>
          </w:p>
        </w:tc>
        <w:tc>
          <w:tcPr>
            <w:tcW w:type="dxa" w:w="3504"/>
          </w:tcPr>
          <w:p>
            <w:r>
              <w:t>Cognitive-Behavioral Therapy</w:t>
            </w:r>
          </w:p>
        </w:tc>
        <w:tc>
          <w:tcPr>
            <w:tcW w:type="dxa" w:w="3504"/>
          </w:tcPr>
          <w:p>
            <w:r>
              <w:t>Ch. 13</w:t>
            </w:r>
          </w:p>
        </w:tc>
      </w:tr>
      <w:tr>
        <w:tc>
          <w:tcPr>
            <w:tcW w:type="dxa" w:w="3504"/>
          </w:tcPr>
          <w:p>
            <w:r>
              <w:t>9</w:t>
            </w:r>
          </w:p>
        </w:tc>
        <w:tc>
          <w:tcPr>
            <w:tcW w:type="dxa" w:w="3504"/>
          </w:tcPr>
          <w:p>
            <w:r>
              <w:t>Reality Therapy and Solution-Focused Counseling; Brief Approaches</w:t>
            </w:r>
          </w:p>
        </w:tc>
        <w:tc>
          <w:tcPr>
            <w:tcW w:type="dxa" w:w="3504"/>
          </w:tcPr>
          <w:p>
            <w:r>
              <w:t>Ch. 9 &amp; 10</w:t>
            </w:r>
          </w:p>
        </w:tc>
      </w:tr>
      <w:tr>
        <w:tc>
          <w:tcPr>
            <w:tcW w:type="dxa" w:w="3504"/>
          </w:tcPr>
          <w:p>
            <w:r>
              <w:t>10</w:t>
            </w:r>
          </w:p>
        </w:tc>
        <w:tc>
          <w:tcPr>
            <w:tcW w:type="dxa" w:w="3504"/>
          </w:tcPr>
          <w:p>
            <w:r>
              <w:t>Group Counseling with Children and Adolescents</w:t>
            </w:r>
          </w:p>
        </w:tc>
        <w:tc>
          <w:tcPr>
            <w:tcW w:type="dxa" w:w="3504"/>
          </w:tcPr>
          <w:p>
            <w:r>
              <w:t>Ch. 18</w:t>
            </w:r>
          </w:p>
        </w:tc>
      </w:tr>
      <w:tr>
        <w:tc>
          <w:tcPr>
            <w:tcW w:type="dxa" w:w="3504"/>
          </w:tcPr>
          <w:p>
            <w:r>
              <w:t>11</w:t>
            </w:r>
          </w:p>
        </w:tc>
        <w:tc>
          <w:tcPr>
            <w:tcW w:type="dxa" w:w="3504"/>
          </w:tcPr>
          <w:p>
            <w:r>
              <w:t>The Use of Play and Activity Therapy</w:t>
            </w:r>
          </w:p>
        </w:tc>
        <w:tc>
          <w:tcPr>
            <w:tcW w:type="dxa" w:w="3504"/>
          </w:tcPr>
          <w:p>
            <w:r>
              <w:t>Ch. 17</w:t>
            </w:r>
          </w:p>
        </w:tc>
      </w:tr>
      <w:tr>
        <w:tc>
          <w:tcPr>
            <w:tcW w:type="dxa" w:w="3504"/>
          </w:tcPr>
          <w:p>
            <w:r>
              <w:t>12</w:t>
            </w:r>
          </w:p>
        </w:tc>
        <w:tc>
          <w:tcPr>
            <w:tcW w:type="dxa" w:w="3504"/>
          </w:tcPr>
          <w:p>
            <w:r>
              <w:t>Filial Therapy and Parent Training; Consulting with Parents and Teachers</w:t>
            </w:r>
          </w:p>
        </w:tc>
        <w:tc>
          <w:tcPr>
            <w:tcW w:type="dxa" w:w="3504"/>
          </w:tcPr>
          <w:p>
            <w:r>
              <w:t>Ch. 15 &amp; 16</w:t>
            </w:r>
          </w:p>
        </w:tc>
      </w:tr>
      <w:tr>
        <w:tc>
          <w:tcPr>
            <w:tcW w:type="dxa" w:w="3504"/>
          </w:tcPr>
          <w:p>
            <w:r>
              <w:t>13</w:t>
            </w:r>
          </w:p>
        </w:tc>
        <w:tc>
          <w:tcPr>
            <w:tcW w:type="dxa" w:w="3504"/>
          </w:tcPr>
          <w:p>
            <w:r>
              <w:t>Counseling Children with Special Concerns/Self-Injury</w:t>
            </w:r>
          </w:p>
        </w:tc>
        <w:tc>
          <w:tcPr>
            <w:tcW w:type="dxa" w:w="3504"/>
          </w:tcPr>
          <w:p>
            <w:r>
              <w:t>Ch. 19 + D2L reading</w:t>
            </w:r>
          </w:p>
        </w:tc>
      </w:tr>
      <w:tr>
        <w:tc>
          <w:tcPr>
            <w:tcW w:type="dxa" w:w="3504"/>
          </w:tcPr>
          <w:p>
            <w:r>
              <w:t>14</w:t>
            </w:r>
          </w:p>
        </w:tc>
        <w:tc>
          <w:tcPr>
            <w:tcW w:type="dxa" w:w="3504"/>
          </w:tcPr>
          <w:p>
            <w:r>
              <w:t>Thanksgiving/Fall Break</w:t>
            </w:r>
          </w:p>
        </w:tc>
        <w:tc>
          <w:tcPr>
            <w:tcW w:type="dxa" w:w="3504"/>
          </w:tcPr>
          <w:p>
            <w:r>
              <w:t>Rest</w:t>
            </w:r>
          </w:p>
        </w:tc>
      </w:tr>
      <w:tr>
        <w:tc>
          <w:tcPr>
            <w:tcW w:type="dxa" w:w="3504"/>
          </w:tcPr>
          <w:p>
            <w:r>
              <w:t>15</w:t>
            </w:r>
          </w:p>
        </w:tc>
        <w:tc>
          <w:tcPr>
            <w:tcW w:type="dxa" w:w="3504"/>
          </w:tcPr>
          <w:p>
            <w:r>
              <w:t>Counseling Children with Disabilities</w:t>
            </w:r>
          </w:p>
        </w:tc>
        <w:tc>
          <w:tcPr>
            <w:tcW w:type="dxa" w:w="3504"/>
          </w:tcPr>
          <w:p>
            <w:r>
              <w:t>Ch. 20</w:t>
            </w:r>
          </w:p>
        </w:tc>
      </w:tr>
      <w:tr>
        <w:tc>
          <w:tcPr>
            <w:tcW w:type="dxa" w:w="3504"/>
          </w:tcPr>
          <w:p>
            <w:r>
              <w:t>16</w:t>
            </w:r>
          </w:p>
        </w:tc>
        <w:tc>
          <w:tcPr>
            <w:tcW w:type="dxa" w:w="3504"/>
          </w:tcPr>
          <w:p>
            <w:r>
              <w:t>Online Final Exam</w:t>
            </w:r>
          </w:p>
        </w:tc>
        <w:tc>
          <w:tcPr>
            <w:tcW w:type="dxa" w:w="3504"/>
          </w:tcPr>
          <w:p>
            <w:r>
              <w:t>Course review</w:t>
            </w:r>
          </w:p>
        </w:tc>
      </w:tr>
    </w:tbl>
    <w:p>
      <w:pPr>
        <w:spacing w:before="80"/>
      </w:pPr>
      <w:r>
        <w:rPr>
          <w:b/>
        </w:rPr>
        <w:t xml:space="preserve">Note: </w:t>
      </w:r>
      <w:r>
        <w:t>Assignment deadlines are not included in this condensed version. Follow D2L and instructor announcements for all deadlines. The syllabus/schedule is subject to change.</w:t>
      </w:r>
    </w:p>
    <w:sectPr w:rsidR="00FC693F" w:rsidRPr="0006063C" w:rsidSect="00034616">
      <w:footerReference w:type="default" r:id="rId9"/>
      <w:pgSz w:w="12240" w:h="15840"/>
      <w:pgMar w:top="691" w:right="864" w:bottom="691"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COUN 534 | Counseling Children &amp; Adolescents | Fall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