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30"/>
        </w:rPr>
        <w:t>COUN 512: CAREER DEVELOPMENT</w:t>
      </w:r>
    </w:p>
    <w:p>
      <w:pPr>
        <w:spacing w:after="100"/>
        <w:jc w:val="center"/>
      </w:pPr>
      <w:r>
        <w:rPr>
          <w:b/>
        </w:rPr>
        <w:t>Condensed Course Syllabus | Fall 2026</w:t>
        <w:br/>
        <w:t>August 20, 2026 - December 11, 2026 | ASYNCHRONOUS ONLINE</w:t>
      </w:r>
    </w:p>
    <w:p>
      <w:pPr>
        <w:spacing w:before="100" w:after="20"/>
      </w:pPr>
      <w:r>
        <w:rPr>
          <w:b/>
          <w:color w:val="1F4E79"/>
          <w:sz w:val="21"/>
        </w:rPr>
        <w:t>INSTRUCTOR INFORMATION</w:t>
      </w:r>
    </w:p>
    <w:tbl>
      <w:tblPr>
        <w:tblStyle w:val="TableGrid"/>
        <w:tblW w:type="auto" w:w="0"/>
        <w:jc w:val="center"/>
        <w:tblLook w:firstColumn="1" w:firstRow="1" w:lastColumn="0" w:lastRow="0" w:noHBand="0" w:noVBand="1" w:val="04A0"/>
      </w:tblPr>
      <w:tblGrid>
        <w:gridCol w:w="5227"/>
        <w:gridCol w:w="5227"/>
      </w:tblGrid>
      <w:tr>
        <w:tc>
          <w:tcPr>
            <w:tcW w:type="dxa" w:w="5227"/>
          </w:tcPr>
          <w:p>
            <w:r>
              <w:rPr>
                <w:b/>
              </w:rPr>
              <w:t>Instructor</w:t>
            </w:r>
          </w:p>
        </w:tc>
        <w:tc>
          <w:tcPr>
            <w:tcW w:type="dxa" w:w="5227"/>
          </w:tcPr>
          <w:p>
            <w:r>
              <w:t>Dr. Carrie Jones, PhD, LPC</w:t>
            </w:r>
          </w:p>
        </w:tc>
      </w:tr>
      <w:tr>
        <w:tc>
          <w:tcPr>
            <w:tcW w:type="dxa" w:w="5227"/>
          </w:tcPr>
          <w:p>
            <w:r>
              <w:rPr>
                <w:b/>
              </w:rPr>
              <w:t>Office / Hours</w:t>
            </w:r>
          </w:p>
        </w:tc>
        <w:tc>
          <w:tcPr>
            <w:tcW w:type="dxa" w:w="5227"/>
          </w:tcPr>
          <w:p>
            <w:r>
              <w:t>Virtual | By appointment only</w:t>
            </w:r>
          </w:p>
        </w:tc>
      </w:tr>
      <w:tr>
        <w:tc>
          <w:tcPr>
            <w:tcW w:type="dxa" w:w="5227"/>
          </w:tcPr>
          <w:p>
            <w:r>
              <w:rPr>
                <w:b/>
              </w:rPr>
              <w:t>Email / Response</w:t>
            </w:r>
          </w:p>
        </w:tc>
        <w:tc>
          <w:tcPr>
            <w:tcW w:type="dxa" w:w="5227"/>
          </w:tcPr>
          <w:p>
            <w:r>
              <w:t>Carrie.Jones@etamu.edu | Email preferred; 24-48 hours Monday-Friday</w:t>
            </w:r>
          </w:p>
        </w:tc>
      </w:tr>
    </w:tbl>
    <w:p>
      <w:pPr>
        <w:spacing w:before="100" w:after="20"/>
      </w:pPr>
      <w:r>
        <w:rPr>
          <w:b/>
          <w:color w:val="1F4E79"/>
          <w:sz w:val="21"/>
        </w:rPr>
        <w:t>COURSE INFORMATION</w:t>
      </w:r>
    </w:p>
    <w:p>
      <w:r>
        <w:t>Three semester hours. This course examines career development theories; occupational, educational, and personal/social information sources and delivery systems; career development programs; and the interrelationships among lifestyle, workplace, and career planning. Prerequisites: None. The course is required for all COUN master's degrees.</w:t>
      </w:r>
    </w:p>
    <w:p>
      <w:r>
        <w:rPr>
          <w:b/>
        </w:rPr>
        <w:t xml:space="preserve">Required Texts: </w:t>
      </w:r>
      <w:r>
        <w:t>Niles, S. G., &amp; Harris-Bowlsbey, J. (2022), Career Development Interventions (6th ed.); Rosenthal, H. (2017), Encyclopedia of Counseling (4th ed.). D2L Brightspace is the learning management system.</w:t>
      </w:r>
    </w:p>
    <w:p>
      <w:pPr>
        <w:spacing w:before="100" w:after="20"/>
      </w:pPr>
      <w:r>
        <w:rPr>
          <w:b/>
          <w:color w:val="1F4E79"/>
          <w:sz w:val="21"/>
        </w:rPr>
        <w:t>KEY PERFORMANCE INDICATOR &amp; CACREP 2024</w:t>
      </w:r>
    </w:p>
    <w:p>
      <w:r>
        <w:t>CMHC KPI 4: Students will apply theories and models of career development (Knowledge).</w:t>
      </w:r>
    </w:p>
    <w:p>
      <w:pPr>
        <w:pStyle w:val="ListBullet"/>
        <w:spacing w:after="0"/>
        <w:ind w:left="259"/>
      </w:pPr>
      <w:r>
        <w:t>3.D.1: Theories and models of career development, counseling, and decision-making.</w:t>
      </w:r>
    </w:p>
    <w:p>
      <w:pPr>
        <w:pStyle w:val="ListBullet"/>
        <w:spacing w:after="0"/>
        <w:ind w:left="259"/>
      </w:pPr>
      <w:r>
        <w:t>3.D.2: Interrelationships among work, socioeconomic standing, wellness, disability, trauma, relationships, and other life roles/factors.</w:t>
      </w:r>
    </w:p>
    <w:p>
      <w:pPr>
        <w:pStyle w:val="ListBullet"/>
        <w:spacing w:after="0"/>
        <w:ind w:left="259"/>
      </w:pPr>
      <w:r>
        <w:t>3.D.3-3.D.5: Career information systems; work-environment assessment; and assessment of abilities, interests, values, personality, and other career factors.</w:t>
      </w:r>
    </w:p>
    <w:p>
      <w:pPr>
        <w:pStyle w:val="ListBullet"/>
        <w:spacing w:after="0"/>
        <w:ind w:left="259"/>
      </w:pPr>
      <w:r>
        <w:t>3.D.6-3.D.12: Career program planning/evaluation; culturally sustaining career development; workplace advocacy; life-work planning; educational readiness; access for marginalized groups; and ethical/legal issues.</w:t>
      </w:r>
    </w:p>
    <w:p>
      <w:pPr>
        <w:spacing w:before="100" w:after="20"/>
      </w:pPr>
      <w:r>
        <w:rPr>
          <w:b/>
          <w:color w:val="1F4E79"/>
          <w:sz w:val="21"/>
        </w:rPr>
        <w:t>INSTRUCTIONAL METHODS &amp; STUDENT RESPONSIBILITIES</w:t>
      </w:r>
    </w:p>
    <w:p>
      <w:r>
        <w:t>Asynchronous instruction is delivered through D2L modules containing readings, resources, videos, and assignments.</w:t>
      </w:r>
    </w:p>
    <w:p>
      <w:pPr>
        <w:pStyle w:val="ListBullet"/>
        <w:spacing w:after="0"/>
        <w:ind w:left="259"/>
      </w:pPr>
      <w:r>
        <w:t>Log into D2L regularly and complete assigned modules, readings, activities, and assessments.</w:t>
      </w:r>
    </w:p>
    <w:p>
      <w:pPr>
        <w:pStyle w:val="ListBullet"/>
        <w:spacing w:after="0"/>
        <w:ind w:left="259"/>
      </w:pPr>
      <w:r>
        <w:t>Maintain a professional and ethical disposition and follow the university student code of conduct.</w:t>
      </w:r>
    </w:p>
    <w:p>
      <w:pPr>
        <w:pStyle w:val="ListBullet"/>
        <w:spacing w:after="0"/>
        <w:ind w:left="259"/>
      </w:pPr>
      <w:r>
        <w:t>Use APA 7th edition guidelines for written assignments.</w:t>
      </w:r>
    </w:p>
    <w:p>
      <w:pPr>
        <w:pStyle w:val="ListBullet"/>
        <w:spacing w:after="0"/>
        <w:ind w:left="259"/>
      </w:pPr>
      <w:r>
        <w:t>Check university email regularly and communicate promptly with the instructor.</w:t>
      </w:r>
    </w:p>
    <w:p>
      <w:pPr>
        <w:pStyle w:val="ListBullet"/>
        <w:spacing w:after="0"/>
        <w:ind w:left="259"/>
      </w:pPr>
      <w:r>
        <w:t>Remain actively engaged in the learning process and plan ahead for coursework.</w:t>
      </w:r>
    </w:p>
    <w:p>
      <w:pPr>
        <w:spacing w:before="100" w:after="20"/>
      </w:pPr>
      <w:r>
        <w:rPr>
          <w:b/>
          <w:color w:val="1F4E79"/>
          <w:sz w:val="21"/>
        </w:rPr>
        <w:t>ASSIGNMENTS / ASSESSMENT</w:t>
      </w:r>
    </w:p>
    <w:tbl>
      <w:tblPr>
        <w:tblStyle w:val="TableGrid"/>
        <w:tblW w:type="auto" w:w="0"/>
        <w:jc w:val="center"/>
        <w:tblLook w:firstColumn="1" w:firstRow="1" w:lastColumn="0" w:lastRow="0" w:noHBand="0" w:noVBand="1" w:val="04A0"/>
      </w:tblPr>
      <w:tblGrid>
        <w:gridCol w:w="3485"/>
        <w:gridCol w:w="3485"/>
        <w:gridCol w:w="3485"/>
      </w:tblGrid>
      <w:tr>
        <w:tc>
          <w:tcPr>
            <w:tcW w:type="dxa" w:w="3485"/>
            <w:shd w:fill="1F4E79"/>
          </w:tcPr>
          <w:p>
            <w:r>
              <w:rPr>
                <w:b/>
                <w:color w:val="FFFFFF"/>
              </w:rPr>
              <w:t>Assessment</w:t>
            </w:r>
          </w:p>
        </w:tc>
        <w:tc>
          <w:tcPr>
            <w:tcW w:type="dxa" w:w="3485"/>
            <w:shd w:fill="1F4E79"/>
          </w:tcPr>
          <w:p>
            <w:r>
              <w:rPr>
                <w:b/>
                <w:color w:val="FFFFFF"/>
              </w:rPr>
              <w:t>Points</w:t>
            </w:r>
          </w:p>
        </w:tc>
        <w:tc>
          <w:tcPr>
            <w:tcW w:type="dxa" w:w="3485"/>
            <w:shd w:fill="1F4E79"/>
          </w:tcPr>
          <w:p>
            <w:r>
              <w:rPr>
                <w:b/>
                <w:color w:val="FFFFFF"/>
              </w:rPr>
              <w:t>Essential Requirements</w:t>
            </w:r>
          </w:p>
        </w:tc>
      </w:tr>
      <w:tr>
        <w:tc>
          <w:tcPr>
            <w:tcW w:type="dxa" w:w="3485"/>
          </w:tcPr>
          <w:p>
            <w:r>
              <w:t>Career Assessment Report</w:t>
            </w:r>
          </w:p>
        </w:tc>
        <w:tc>
          <w:tcPr>
            <w:tcW w:type="dxa" w:w="3485"/>
          </w:tcPr>
          <w:p>
            <w:r>
              <w:t>100</w:t>
            </w:r>
          </w:p>
        </w:tc>
        <w:tc>
          <w:tcPr>
            <w:tcW w:type="dxa" w:w="3485"/>
          </w:tcPr>
          <w:p>
            <w:r>
              <w:t>Conduct a career assessment with an adult volunteer role-play client using two standardized assessments and O*NET resources. Integrate results, cultural considerations, barriers/advocacy, occupational information, skill development, and a SMART career action plan in an APA 7 professional report.</w:t>
            </w:r>
          </w:p>
        </w:tc>
      </w:tr>
      <w:tr>
        <w:tc>
          <w:tcPr>
            <w:tcW w:type="dxa" w:w="3485"/>
          </w:tcPr>
          <w:p>
            <w:r>
              <w:t>CACREP KPI: Career Autobiography &amp; Analysis</w:t>
            </w:r>
          </w:p>
        </w:tc>
        <w:tc>
          <w:tcPr>
            <w:tcW w:type="dxa" w:w="3485"/>
          </w:tcPr>
          <w:p>
            <w:r>
              <w:t>100</w:t>
            </w:r>
          </w:p>
        </w:tc>
        <w:tc>
          <w:tcPr>
            <w:tcW w:type="dxa" w:w="3485"/>
          </w:tcPr>
          <w:p>
            <w:r>
              <w:t>Describe your career development from elementary school through the present using one career development theory from the course. Connect theory to your experiences, career decisions, assessment results, growth in the counseling program, and future career expectations.</w:t>
            </w:r>
          </w:p>
        </w:tc>
      </w:tr>
      <w:tr>
        <w:tc>
          <w:tcPr>
            <w:tcW w:type="dxa" w:w="3485"/>
          </w:tcPr>
          <w:p>
            <w:r>
              <w:t>Career Counseling Final Exam</w:t>
            </w:r>
          </w:p>
        </w:tc>
        <w:tc>
          <w:tcPr>
            <w:tcW w:type="dxa" w:w="3485"/>
          </w:tcPr>
          <w:p>
            <w:r>
              <w:t>100</w:t>
            </w:r>
          </w:p>
        </w:tc>
        <w:tc>
          <w:tcPr>
            <w:tcW w:type="dxa" w:w="3485"/>
          </w:tcPr>
          <w:p>
            <w:r>
              <w:t>Comprehensive assessment of major career counseling concepts and course content; supports preparation for comprehensive counseling examinations.</w:t>
            </w:r>
          </w:p>
        </w:tc>
      </w:tr>
    </w:tbl>
    <w:p>
      <w:r>
        <w:t>Detailed assignment instructions, rubrics, and assignment deadlines are maintained in D2L. Specific due dates are intentionally omitted from this condensed syllabus.</w:t>
      </w:r>
    </w:p>
    <w:p>
      <w:pPr>
        <w:spacing w:before="100" w:after="20"/>
      </w:pPr>
      <w:r>
        <w:rPr>
          <w:b/>
          <w:color w:val="1F4E79"/>
          <w:sz w:val="21"/>
        </w:rPr>
        <w:t>GRADING</w:t>
      </w:r>
    </w:p>
    <w:p>
      <w:r>
        <w:rPr>
          <w:b/>
        </w:rPr>
        <w:t>Total: 300 points | A = 270-300 | B = 240-269 | C = 210-239 | D = 180-209 | F = below 180</w:t>
      </w:r>
    </w:p>
    <w:p>
      <w:r>
        <w:t>Late-work expectations and any exceptions are governed by the course policy and instructor communication in D2L.</w:t>
      </w:r>
    </w:p>
    <w:p>
      <w:pPr>
        <w:spacing w:before="100" w:after="20"/>
      </w:pPr>
      <w:r>
        <w:rPr>
          <w:b/>
          <w:color w:val="1F4E79"/>
          <w:sz w:val="21"/>
        </w:rPr>
        <w:t>ESSENTIAL POLICIES</w:t>
      </w:r>
    </w:p>
    <w:p>
      <w:pPr>
        <w:pStyle w:val="ListBullet"/>
        <w:spacing w:after="0"/>
        <w:ind w:left="259"/>
      </w:pPr>
      <w:r>
        <w:t>Academic Integrity: Students are expected to submit original, accurate work and follow university academic integrity requirements.</w:t>
      </w:r>
    </w:p>
    <w:p>
      <w:pPr>
        <w:pStyle w:val="ListBullet"/>
        <w:spacing w:after="0"/>
        <w:ind w:left="259"/>
      </w:pPr>
      <w:r>
        <w:t>Professional Conduct: Follow the ACA Code of Ethics, Counseling Department expectations, and university conduct standards.</w:t>
      </w:r>
    </w:p>
    <w:p>
      <w:pPr>
        <w:pStyle w:val="ListBullet"/>
        <w:spacing w:after="0"/>
        <w:ind w:left="259"/>
      </w:pPr>
      <w:r>
        <w:t>Accessibility: Students needing accommodations should work with East Texas A&amp;M University Student Disability Resources and Services.</w:t>
      </w:r>
    </w:p>
    <w:p>
      <w:pPr>
        <w:pStyle w:val="ListBullet"/>
        <w:spacing w:after="0"/>
        <w:ind w:left="259"/>
      </w:pPr>
      <w:r>
        <w:t>Technology: Reliable computer, internet, D2L, and university email access are required; maintain a backup plan for technology problems.</w:t>
      </w:r>
    </w:p>
    <w:p>
      <w:pPr>
        <w:pStyle w:val="ListBullet"/>
        <w:spacing w:after="0"/>
        <w:ind w:left="259"/>
      </w:pPr>
      <w:r>
        <w:t>Syllabus Changes: The syllabus and course schedule are subject to change; changes will be communicated by the instructor.</w:t>
      </w:r>
    </w:p>
    <w:p>
      <w:pPr>
        <w:spacing w:before="100" w:after="20"/>
      </w:pPr>
      <w:r>
        <w:rPr>
          <w:b/>
          <w:color w:val="1F4E79"/>
          <w:sz w:val="21"/>
        </w:rPr>
        <w:t>COURSE OUTLINE</w:t>
      </w:r>
    </w:p>
    <w:tbl>
      <w:tblPr>
        <w:tblStyle w:val="TableGrid"/>
        <w:tblW w:type="auto" w:w="0"/>
        <w:jc w:val="center"/>
        <w:tblLook w:firstColumn="1" w:firstRow="1" w:lastColumn="0" w:lastRow="0" w:noHBand="0" w:noVBand="1" w:val="04A0"/>
      </w:tblPr>
      <w:tblGrid>
        <w:gridCol w:w="3485"/>
        <w:gridCol w:w="3485"/>
        <w:gridCol w:w="3485"/>
      </w:tblGrid>
      <w:tr>
        <w:tc>
          <w:tcPr>
            <w:tcW w:type="dxa" w:w="3485"/>
            <w:shd w:fill="1F4E79"/>
          </w:tcPr>
          <w:p>
            <w:r>
              <w:rPr>
                <w:b/>
                <w:color w:val="FFFFFF"/>
              </w:rPr>
              <w:t>Week</w:t>
            </w:r>
          </w:p>
        </w:tc>
        <w:tc>
          <w:tcPr>
            <w:tcW w:type="dxa" w:w="3485"/>
            <w:shd w:fill="1F4E79"/>
          </w:tcPr>
          <w:p>
            <w:r>
              <w:rPr>
                <w:b/>
                <w:color w:val="FFFFFF"/>
              </w:rPr>
              <w:t>Topic</w:t>
            </w:r>
          </w:p>
        </w:tc>
        <w:tc>
          <w:tcPr>
            <w:tcW w:type="dxa" w:w="3485"/>
            <w:shd w:fill="1F4E79"/>
          </w:tcPr>
          <w:p>
            <w:r>
              <w:rPr>
                <w:b/>
                <w:color w:val="FFFFFF"/>
              </w:rPr>
              <w:t>Reading</w:t>
            </w:r>
          </w:p>
        </w:tc>
      </w:tr>
      <w:tr>
        <w:tc>
          <w:tcPr>
            <w:tcW w:type="dxa" w:w="3485"/>
          </w:tcPr>
          <w:p>
            <w:r>
              <w:t>1</w:t>
            </w:r>
          </w:p>
        </w:tc>
        <w:tc>
          <w:tcPr>
            <w:tcW w:type="dxa" w:w="3485"/>
          </w:tcPr>
          <w:p>
            <w:r>
              <w:t>Course Orientation; Introduction to Career Development</w:t>
            </w:r>
          </w:p>
        </w:tc>
        <w:tc>
          <w:tcPr>
            <w:tcW w:type="dxa" w:w="3485"/>
          </w:tcPr>
          <w:p>
            <w:r>
              <w:t>Ch. 1</w:t>
            </w:r>
          </w:p>
        </w:tc>
      </w:tr>
      <w:tr>
        <w:tc>
          <w:tcPr>
            <w:tcW w:type="dxa" w:w="3485"/>
          </w:tcPr>
          <w:p>
            <w:r>
              <w:t>2</w:t>
            </w:r>
          </w:p>
        </w:tc>
        <w:tc>
          <w:tcPr>
            <w:tcW w:type="dxa" w:w="3485"/>
          </w:tcPr>
          <w:p>
            <w:r>
              <w:t>Theories of Career Development</w:t>
            </w:r>
          </w:p>
        </w:tc>
        <w:tc>
          <w:tcPr>
            <w:tcW w:type="dxa" w:w="3485"/>
          </w:tcPr>
          <w:p>
            <w:r>
              <w:t>Ch. 2-3</w:t>
            </w:r>
          </w:p>
        </w:tc>
      </w:tr>
      <w:tr>
        <w:tc>
          <w:tcPr>
            <w:tcW w:type="dxa" w:w="3485"/>
          </w:tcPr>
          <w:p>
            <w:r>
              <w:t>3</w:t>
            </w:r>
          </w:p>
        </w:tc>
        <w:tc>
          <w:tcPr>
            <w:tcW w:type="dxa" w:w="3485"/>
          </w:tcPr>
          <w:p>
            <w:r>
              <w:t>Culturally Competent Career Development Interventions</w:t>
            </w:r>
          </w:p>
        </w:tc>
        <w:tc>
          <w:tcPr>
            <w:tcW w:type="dxa" w:w="3485"/>
          </w:tcPr>
          <w:p>
            <w:r>
              <w:t>Ch. 4</w:t>
            </w:r>
          </w:p>
        </w:tc>
      </w:tr>
      <w:tr>
        <w:tc>
          <w:tcPr>
            <w:tcW w:type="dxa" w:w="3485"/>
          </w:tcPr>
          <w:p>
            <w:r>
              <w:t>4</w:t>
            </w:r>
          </w:p>
        </w:tc>
        <w:tc>
          <w:tcPr>
            <w:tcW w:type="dxa" w:w="3485"/>
          </w:tcPr>
          <w:p>
            <w:r>
              <w:t>Assessment and Career Planning</w:t>
            </w:r>
          </w:p>
        </w:tc>
        <w:tc>
          <w:tcPr>
            <w:tcW w:type="dxa" w:w="3485"/>
          </w:tcPr>
          <w:p>
            <w:r>
              <w:t>Ch. 5</w:t>
            </w:r>
          </w:p>
        </w:tc>
      </w:tr>
      <w:tr>
        <w:tc>
          <w:tcPr>
            <w:tcW w:type="dxa" w:w="3485"/>
          </w:tcPr>
          <w:p>
            <w:r>
              <w:t>5</w:t>
            </w:r>
          </w:p>
        </w:tc>
        <w:tc>
          <w:tcPr>
            <w:tcW w:type="dxa" w:w="3485"/>
          </w:tcPr>
          <w:p>
            <w:r>
              <w:t>Career Information and Resources</w:t>
            </w:r>
          </w:p>
        </w:tc>
        <w:tc>
          <w:tcPr>
            <w:tcW w:type="dxa" w:w="3485"/>
          </w:tcPr>
          <w:p>
            <w:r>
              <w:t>Ch. 6</w:t>
            </w:r>
          </w:p>
        </w:tc>
      </w:tr>
      <w:tr>
        <w:tc>
          <w:tcPr>
            <w:tcW w:type="dxa" w:w="3485"/>
          </w:tcPr>
          <w:p>
            <w:r>
              <w:t>6</w:t>
            </w:r>
          </w:p>
        </w:tc>
        <w:tc>
          <w:tcPr>
            <w:tcW w:type="dxa" w:w="3485"/>
          </w:tcPr>
          <w:p>
            <w:r>
              <w:t>Technology in Career Counseling</w:t>
            </w:r>
          </w:p>
        </w:tc>
        <w:tc>
          <w:tcPr>
            <w:tcW w:type="dxa" w:w="3485"/>
          </w:tcPr>
          <w:p>
            <w:r>
              <w:t>Ch. 7</w:t>
            </w:r>
          </w:p>
        </w:tc>
      </w:tr>
      <w:tr>
        <w:tc>
          <w:tcPr>
            <w:tcW w:type="dxa" w:w="3485"/>
          </w:tcPr>
          <w:p>
            <w:r>
              <w:t>7</w:t>
            </w:r>
          </w:p>
        </w:tc>
        <w:tc>
          <w:tcPr>
            <w:tcW w:type="dxa" w:w="3485"/>
          </w:tcPr>
          <w:p>
            <w:r>
              <w:t>Career Counseling Strategies and Techniques</w:t>
            </w:r>
          </w:p>
        </w:tc>
        <w:tc>
          <w:tcPr>
            <w:tcW w:type="dxa" w:w="3485"/>
          </w:tcPr>
          <w:p>
            <w:r>
              <w:t>Ch. 8</w:t>
            </w:r>
          </w:p>
        </w:tc>
      </w:tr>
      <w:tr>
        <w:tc>
          <w:tcPr>
            <w:tcW w:type="dxa" w:w="3485"/>
          </w:tcPr>
          <w:p>
            <w:r>
              <w:t>8</w:t>
            </w:r>
          </w:p>
        </w:tc>
        <w:tc>
          <w:tcPr>
            <w:tcW w:type="dxa" w:w="3485"/>
          </w:tcPr>
          <w:p>
            <w:r>
              <w:t>Career Development Programs and Services</w:t>
            </w:r>
          </w:p>
        </w:tc>
        <w:tc>
          <w:tcPr>
            <w:tcW w:type="dxa" w:w="3485"/>
          </w:tcPr>
          <w:p>
            <w:r>
              <w:t>Ch. 9</w:t>
            </w:r>
          </w:p>
        </w:tc>
      </w:tr>
      <w:tr>
        <w:tc>
          <w:tcPr>
            <w:tcW w:type="dxa" w:w="3485"/>
          </w:tcPr>
          <w:p>
            <w:r>
              <w:t>9</w:t>
            </w:r>
          </w:p>
        </w:tc>
        <w:tc>
          <w:tcPr>
            <w:tcW w:type="dxa" w:w="3485"/>
          </w:tcPr>
          <w:p>
            <w:r>
              <w:t>Career Development Interventions in Elementary Schools</w:t>
            </w:r>
          </w:p>
        </w:tc>
        <w:tc>
          <w:tcPr>
            <w:tcW w:type="dxa" w:w="3485"/>
          </w:tcPr>
          <w:p>
            <w:r>
              <w:t>Ch. 10</w:t>
            </w:r>
          </w:p>
        </w:tc>
      </w:tr>
      <w:tr>
        <w:tc>
          <w:tcPr>
            <w:tcW w:type="dxa" w:w="3485"/>
          </w:tcPr>
          <w:p>
            <w:r>
              <w:t>10</w:t>
            </w:r>
          </w:p>
        </w:tc>
        <w:tc>
          <w:tcPr>
            <w:tcW w:type="dxa" w:w="3485"/>
          </w:tcPr>
          <w:p>
            <w:r>
              <w:t>Career Development Interventions in Middle Schools</w:t>
            </w:r>
          </w:p>
        </w:tc>
        <w:tc>
          <w:tcPr>
            <w:tcW w:type="dxa" w:w="3485"/>
          </w:tcPr>
          <w:p>
            <w:r>
              <w:t>Ch. 11</w:t>
            </w:r>
          </w:p>
        </w:tc>
      </w:tr>
      <w:tr>
        <w:tc>
          <w:tcPr>
            <w:tcW w:type="dxa" w:w="3485"/>
          </w:tcPr>
          <w:p>
            <w:r>
              <w:t>11</w:t>
            </w:r>
          </w:p>
        </w:tc>
        <w:tc>
          <w:tcPr>
            <w:tcW w:type="dxa" w:w="3485"/>
          </w:tcPr>
          <w:p>
            <w:r>
              <w:t>Career Development Interventions in High Schools</w:t>
            </w:r>
          </w:p>
        </w:tc>
        <w:tc>
          <w:tcPr>
            <w:tcW w:type="dxa" w:w="3485"/>
          </w:tcPr>
          <w:p>
            <w:r>
              <w:t>Ch. 12</w:t>
            </w:r>
          </w:p>
        </w:tc>
      </w:tr>
      <w:tr>
        <w:tc>
          <w:tcPr>
            <w:tcW w:type="dxa" w:w="3485"/>
          </w:tcPr>
          <w:p>
            <w:r>
              <w:t>12</w:t>
            </w:r>
          </w:p>
        </w:tc>
        <w:tc>
          <w:tcPr>
            <w:tcW w:type="dxa" w:w="3485"/>
          </w:tcPr>
          <w:p>
            <w:r>
              <w:t>Career Development Interventions in Higher Education</w:t>
            </w:r>
          </w:p>
        </w:tc>
        <w:tc>
          <w:tcPr>
            <w:tcW w:type="dxa" w:w="3485"/>
          </w:tcPr>
          <w:p>
            <w:r>
              <w:t>Ch. 13</w:t>
            </w:r>
          </w:p>
        </w:tc>
      </w:tr>
      <w:tr>
        <w:tc>
          <w:tcPr>
            <w:tcW w:type="dxa" w:w="3485"/>
          </w:tcPr>
          <w:p>
            <w:r>
              <w:t>13</w:t>
            </w:r>
          </w:p>
        </w:tc>
        <w:tc>
          <w:tcPr>
            <w:tcW w:type="dxa" w:w="3485"/>
          </w:tcPr>
          <w:p>
            <w:r>
              <w:t>Career Development Interventions in Community Settings</w:t>
            </w:r>
          </w:p>
        </w:tc>
        <w:tc>
          <w:tcPr>
            <w:tcW w:type="dxa" w:w="3485"/>
          </w:tcPr>
          <w:p>
            <w:r>
              <w:t>Ch. 14</w:t>
            </w:r>
          </w:p>
        </w:tc>
      </w:tr>
      <w:tr>
        <w:tc>
          <w:tcPr>
            <w:tcW w:type="dxa" w:w="3485"/>
          </w:tcPr>
          <w:p>
            <w:r>
              <w:t>14</w:t>
            </w:r>
          </w:p>
        </w:tc>
        <w:tc>
          <w:tcPr>
            <w:tcW w:type="dxa" w:w="3485"/>
          </w:tcPr>
          <w:p>
            <w:r>
              <w:t>Ethical Issues in Career Development Interventions</w:t>
            </w:r>
          </w:p>
        </w:tc>
        <w:tc>
          <w:tcPr>
            <w:tcW w:type="dxa" w:w="3485"/>
          </w:tcPr>
          <w:p>
            <w:r>
              <w:t>Ch. 15</w:t>
            </w:r>
          </w:p>
        </w:tc>
      </w:tr>
      <w:tr>
        <w:tc>
          <w:tcPr>
            <w:tcW w:type="dxa" w:w="3485"/>
          </w:tcPr>
          <w:p>
            <w:r>
              <w:t>15</w:t>
            </w:r>
          </w:p>
        </w:tc>
        <w:tc>
          <w:tcPr>
            <w:tcW w:type="dxa" w:w="3485"/>
          </w:tcPr>
          <w:p>
            <w:r>
              <w:t>Course Review / Final Exam</w:t>
            </w:r>
          </w:p>
        </w:tc>
        <w:tc>
          <w:tcPr>
            <w:tcW w:type="dxa" w:w="3485"/>
          </w:tcPr>
          <w:p>
            <w:r>
              <w:t>Review</w:t>
            </w:r>
          </w:p>
        </w:tc>
      </w:tr>
    </w:tbl>
    <w:p>
      <w:pPr>
        <w:spacing w:before="80"/>
      </w:pPr>
      <w:r>
        <w:rPr>
          <w:b/>
        </w:rPr>
        <w:t xml:space="preserve">Note: </w:t>
      </w:r>
      <w:r>
        <w:t>Students should use D2L for complete assignment directions, rubrics, deadlines, supplemental readings, and instructor announcements.</w:t>
      </w:r>
    </w:p>
    <w:sectPr w:rsidR="00FC693F" w:rsidRPr="0006063C" w:rsidSect="00034616">
      <w:footerReference w:type="default" r:id="rId9"/>
      <w:pgSz w:w="12240" w:h="15840"/>
      <w:pgMar w:top="720" w:right="893" w:bottom="720"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COUN 512 | Career Development | Fall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