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E67"/>
          <w:sz w:val="32"/>
        </w:rPr>
        <w:t>COUN 501: Orientation to the Counseling Profession</w:t>
      </w:r>
    </w:p>
    <w:p>
      <w:pPr>
        <w:jc w:val="center"/>
      </w:pPr>
      <w:r>
        <w:rPr>
          <w:b/>
        </w:rPr>
        <w:t>Course Syllabus — Fall 2026</w:t>
        <w:br/>
        <w:t>August 20–December 11, 2026</w:t>
        <w:br/>
        <w:t>In-Person | Wednesdays, 7:20–10:10 PM | Dallas Campus, Room TBD</w:t>
      </w:r>
    </w:p>
    <w:p>
      <w:pPr>
        <w:pStyle w:val="Heading1"/>
      </w:pPr>
      <w:r>
        <w:t>Instructor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2880"/>
            <w:shd w:fill="1F4E78"/>
          </w:tcPr>
          <w:p>
            <w:r>
              <w:t>Instructor</w:t>
            </w:r>
          </w:p>
        </w:tc>
        <w:tc>
          <w:tcPr>
            <w:tcW w:type="dxa" w:w="3600"/>
            <w:shd w:fill="1F4E78"/>
          </w:tcPr>
          <w:p>
            <w:r>
              <w:t>Office / Contact</w:t>
            </w:r>
          </w:p>
        </w:tc>
        <w:tc>
          <w:tcPr>
            <w:tcW w:type="dxa" w:w="3456"/>
            <w:shd w:fill="1F4E78"/>
          </w:tcPr>
          <w:p>
            <w:r>
              <w:t>Communication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>
              <w:t>Dr. Carrie Jones, PhD, LPC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t>Virtual office; hours by appointment</w:t>
              <w:br/>
              <w:t>Carrie.Jones@etamu.edu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>
              <w:t>Email preferred; response generally within 24–48 hours Monday–Friday</w:t>
            </w:r>
          </w:p>
        </w:tc>
      </w:tr>
    </w:tbl>
    <w:p>
      <w:pPr>
        <w:spacing w:after="0"/>
      </w:pPr>
    </w:p>
    <w:p>
      <w:pPr>
        <w:pStyle w:val="Heading1"/>
      </w:pPr>
      <w:r>
        <w:t>Course Information</w:t>
      </w:r>
    </w:p>
    <w:p>
      <w:r>
        <w:rPr>
          <w:b/>
        </w:rPr>
        <w:t xml:space="preserve">Catalog Description: </w:t>
      </w:r>
      <w:r>
        <w:t>An introductory three-credit course addressing the counseling profession, counselor roles and settings, history, professional organizations, credentialing, ethical/legal issues, preparation standards, and foundational helping skills.</w:t>
      </w:r>
    </w:p>
    <w:p>
      <w:r>
        <w:rPr>
          <w:b/>
        </w:rPr>
        <w:t xml:space="preserve">Instructional Methods: </w:t>
      </w:r>
      <w:r>
        <w:t>In-person lecture, discussion, experiential activities, case-based learning, and application assignments.</w:t>
      </w:r>
    </w:p>
    <w:p>
      <w:pPr>
        <w:pStyle w:val="Heading2"/>
      </w:pPr>
      <w:r>
        <w:t>Required Materials</w:t>
      </w:r>
    </w:p>
    <w:p>
      <w:pPr>
        <w:pStyle w:val="ListBullet"/>
        <w:spacing w:after="20"/>
        <w:ind w:left="288"/>
      </w:pPr>
      <w:r>
        <w:t>American Counseling Association. (2014). 2014 ACA Code of Ethics.</w:t>
      </w:r>
    </w:p>
    <w:p>
      <w:pPr>
        <w:pStyle w:val="ListBullet"/>
        <w:spacing w:after="20"/>
        <w:ind w:left="288"/>
      </w:pPr>
      <w:r>
        <w:t>Corey, G., Corey, M. S., &amp; Corey, C. (2024). Issues &amp; Ethics in the Helping Professions (11th ed.). Cengage.</w:t>
      </w:r>
    </w:p>
    <w:p>
      <w:pPr>
        <w:pStyle w:val="ListBullet"/>
        <w:spacing w:after="20"/>
        <w:ind w:left="288"/>
      </w:pPr>
      <w:r>
        <w:t>Erford, B. T. (2024). Orientation to the Counseling Profession: Advocacy, Ethics, and Essential Professional Foundations (4th ed.). Pearson.</w:t>
      </w:r>
    </w:p>
    <w:p>
      <w:r>
        <w:t>Recommended: APA Publication Manual (7th ed.). Key professional resources include ACA, NBCC, CACREP, Texas LPC rules, Chi Sigma Iota, and the Occupational Outlook Handbook.</w:t>
      </w:r>
    </w:p>
    <w:p>
      <w:pPr>
        <w:pStyle w:val="Heading1"/>
      </w:pPr>
      <w:r>
        <w:t>2024 CACREP Alignment / Key Performance Indicators</w:t>
      </w:r>
    </w:p>
    <w:p>
      <w:r>
        <w:t>Course content and assessments address the following standards: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1728"/>
            <w:shd w:fill="1F4E78"/>
          </w:tcPr>
          <w:p>
            <w:r>
              <w:t>Standard</w:t>
            </w:r>
          </w:p>
        </w:tc>
        <w:tc>
          <w:tcPr>
            <w:tcW w:type="dxa" w:w="8352"/>
            <w:shd w:fill="1F4E78"/>
          </w:tcPr>
          <w:p>
            <w:r>
              <w:t>Primary Content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>
              <w:t>3.A.1</w:t>
            </w:r>
          </w:p>
        </w:tc>
        <w:tc>
          <w:tcPr>
            <w:tcW w:type="dxa" w:w="8352"/>
            <w:vAlign w:val="center"/>
          </w:tcPr>
          <w:p>
            <w:pPr>
              <w:spacing w:after="0"/>
            </w:pPr>
            <w:r>
              <w:t>History/philosophy of counseling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>
              <w:t>3.A.2–3</w:t>
            </w:r>
          </w:p>
        </w:tc>
        <w:tc>
          <w:tcPr>
            <w:tcW w:type="dxa" w:w="8352"/>
            <w:vAlign w:val="center"/>
          </w:tcPr>
          <w:p>
            <w:pPr>
              <w:spacing w:after="0"/>
            </w:pPr>
            <w:r>
              <w:t>Professional roles, specialty areas, and interprofessional teams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>
              <w:t>3.A.4–5</w:t>
            </w:r>
          </w:p>
        </w:tc>
        <w:tc>
          <w:tcPr>
            <w:tcW w:type="dxa" w:w="8352"/>
            <w:vAlign w:val="center"/>
          </w:tcPr>
          <w:p>
            <w:pPr>
              <w:spacing w:after="0"/>
            </w:pPr>
            <w:r>
              <w:t>Client and professional advocacy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>
              <w:t>3.A.6–8</w:t>
            </w:r>
          </w:p>
        </w:tc>
        <w:tc>
          <w:tcPr>
            <w:tcW w:type="dxa" w:w="8352"/>
            <w:vAlign w:val="center"/>
          </w:tcPr>
          <w:p>
            <w:pPr>
              <w:spacing w:after="0"/>
            </w:pPr>
            <w:r>
              <w:t>Professional organizations, credentialing, legislation/regulation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>
              <w:t>3.A.10</w:t>
            </w:r>
          </w:p>
        </w:tc>
        <w:tc>
          <w:tcPr>
            <w:tcW w:type="dxa" w:w="8352"/>
            <w:vAlign w:val="center"/>
          </w:tcPr>
          <w:p>
            <w:pPr>
              <w:spacing w:after="0"/>
            </w:pPr>
            <w:r>
              <w:t>Ethical standards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>
              <w:t>3.A.11</w:t>
            </w:r>
          </w:p>
        </w:tc>
        <w:tc>
          <w:tcPr>
            <w:tcW w:type="dxa" w:w="8352"/>
            <w:vAlign w:val="center"/>
          </w:tcPr>
          <w:p>
            <w:pPr>
              <w:spacing w:after="0"/>
            </w:pPr>
            <w:r>
              <w:t>Self-care, self-awareness, self-evaluation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>
              <w:t>3.A.12</w:t>
            </w:r>
          </w:p>
        </w:tc>
        <w:tc>
          <w:tcPr>
            <w:tcW w:type="dxa" w:w="8352"/>
            <w:vAlign w:val="center"/>
          </w:tcPr>
          <w:p>
            <w:pPr>
              <w:spacing w:after="0"/>
            </w:pPr>
            <w:r>
              <w:t>Counseling supervision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>
              <w:t>3.E.4</w:t>
            </w:r>
          </w:p>
        </w:tc>
        <w:tc>
          <w:tcPr>
            <w:tcW w:type="dxa" w:w="8352"/>
            <w:vAlign w:val="center"/>
          </w:tcPr>
          <w:p>
            <w:pPr>
              <w:spacing w:after="0"/>
            </w:pPr>
            <w:r>
              <w:t>Consultation models/strategies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>
              <w:t>3.E.6</w:t>
            </w:r>
          </w:p>
        </w:tc>
        <w:tc>
          <w:tcPr>
            <w:tcW w:type="dxa" w:w="8352"/>
            <w:vAlign w:val="center"/>
          </w:tcPr>
          <w:p>
            <w:pPr>
              <w:spacing w:after="0"/>
            </w:pPr>
            <w:r>
              <w:t>Ethical/legal issues in counseling relationships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>
              <w:t>3.E.8</w:t>
            </w:r>
          </w:p>
        </w:tc>
        <w:tc>
          <w:tcPr>
            <w:tcW w:type="dxa" w:w="8352"/>
            <w:vAlign w:val="center"/>
          </w:tcPr>
          <w:p>
            <w:pPr>
              <w:spacing w:after="0"/>
            </w:pPr>
            <w:r>
              <w:t>Counselor characteristics and behaviors facilitating effective relationships</w:t>
            </w:r>
          </w:p>
        </w:tc>
      </w:tr>
    </w:tbl>
    <w:p>
      <w:pPr>
        <w:spacing w:after="0"/>
      </w:pPr>
    </w:p>
    <w:p>
      <w:r>
        <w:rPr>
          <w:b/>
        </w:rPr>
        <w:t xml:space="preserve">KPI benchmark: </w:t>
      </w:r>
      <w:r>
        <w:t>≥80% of students meet or exceed expectations on aligned assessments.</w:t>
      </w:r>
    </w:p>
    <w:p>
      <w:pPr>
        <w:pStyle w:val="Heading1"/>
      </w:pPr>
      <w:r>
        <w:t>Student Responsibilities</w:t>
      </w:r>
    </w:p>
    <w:p>
      <w:pPr>
        <w:pStyle w:val="ListBullet"/>
        <w:spacing w:after="20"/>
        <w:ind w:left="288"/>
      </w:pPr>
      <w:r>
        <w:t>Attend and participate professionally; complete assigned readings before class.</w:t>
      </w:r>
    </w:p>
    <w:p>
      <w:pPr>
        <w:pStyle w:val="ListBullet"/>
        <w:spacing w:after="20"/>
        <w:ind w:left="288"/>
      </w:pPr>
      <w:r>
        <w:t>Submit all assignments in D2L by posted deadlines and follow APA 7th edition for written work.</w:t>
      </w:r>
    </w:p>
    <w:p>
      <w:pPr>
        <w:pStyle w:val="ListBullet"/>
        <w:spacing w:after="20"/>
        <w:ind w:left="288"/>
      </w:pPr>
      <w:r>
        <w:t>Maintain ethical/professional conduct and follow the University Student Code of Conduct.</w:t>
      </w:r>
    </w:p>
    <w:p>
      <w:pPr>
        <w:pStyle w:val="ListBullet"/>
        <w:spacing w:after="20"/>
        <w:ind w:left="288"/>
      </w:pPr>
      <w:r>
        <w:t>Check university email regularly and communicate professionally with the instructor.</w:t>
      </w:r>
    </w:p>
    <w:p>
      <w:pPr>
        <w:pStyle w:val="Heading1"/>
      </w:pPr>
      <w:r>
        <w:t>Assignments &amp; Assessments</w:t>
      </w:r>
    </w:p>
    <w:p>
      <w:r>
        <w:t>All assignments are submitted in D2L. Detailed rubrics and assignment instructions are available in D2L.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168"/>
            <w:shd w:fill="1F4E78"/>
          </w:tcPr>
          <w:p>
            <w:r>
              <w:t>Assessment</w:t>
            </w:r>
          </w:p>
        </w:tc>
        <w:tc>
          <w:tcPr>
            <w:tcW w:type="dxa" w:w="1008"/>
            <w:shd w:fill="1F4E78"/>
          </w:tcPr>
          <w:p>
            <w:r>
              <w:t>Points</w:t>
            </w:r>
          </w:p>
        </w:tc>
        <w:tc>
          <w:tcPr>
            <w:tcW w:type="dxa" w:w="5904"/>
            <w:shd w:fill="1F4E78"/>
          </w:tcPr>
          <w:p>
            <w:r>
              <w:t>Key Requirements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>
              <w:t>A. Counseling Interest Paper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t>100</w:t>
            </w:r>
          </w:p>
        </w:tc>
        <w:tc>
          <w:tcPr>
            <w:tcW w:type="dxa" w:w="5904"/>
            <w:vAlign w:val="center"/>
          </w:tcPr>
          <w:p>
            <w:pPr>
              <w:spacing w:after="0"/>
            </w:pPr>
            <w:r>
              <w:t>Counseling topic; literature review + critical reflection; ethical/legal considerations; at least 5 peer-reviewed counseling journal references; APA 7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>
              <w:t>B. Article Critique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t>30</w:t>
            </w:r>
          </w:p>
        </w:tc>
        <w:tc>
          <w:tcPr>
            <w:tcW w:type="dxa" w:w="5904"/>
            <w:vAlign w:val="center"/>
          </w:tcPr>
          <w:p>
            <w:pPr>
              <w:spacing w:after="0"/>
            </w:pPr>
            <w:r>
              <w:t>Critique two peer-reviewed counseling articles; 4–5 pages excluding title/reference pages; APA 7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>
              <w:t>C. Professional Interview &amp; Presentation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t>30</w:t>
            </w:r>
          </w:p>
        </w:tc>
        <w:tc>
          <w:tcPr>
            <w:tcW w:type="dxa" w:w="5904"/>
            <w:vAlign w:val="center"/>
          </w:tcPr>
          <w:p>
            <w:pPr>
              <w:spacing w:after="0"/>
            </w:pPr>
            <w:r>
              <w:t>Paper, ; presentation listed for. Interview a counseling professional; 4–5 page synthesis + in-class presentation; APA 7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>
              <w:t>D. Reflective Journal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t>20</w:t>
            </w:r>
          </w:p>
        </w:tc>
        <w:tc>
          <w:tcPr>
            <w:tcW w:type="dxa" w:w="5904"/>
            <w:vAlign w:val="center"/>
          </w:tcPr>
          <w:p>
            <w:pPr>
              <w:spacing w:after="0"/>
            </w:pPr>
            <w:r>
              <w:t>Integrated reflection on self-awareness, professional values, growth, and personal wellness plan; 4–5 pages; APA 7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>
              <w:t>Midterm Exam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t>50</w:t>
            </w:r>
          </w:p>
        </w:tc>
        <w:tc>
          <w:tcPr>
            <w:tcW w:type="dxa" w:w="5904"/>
            <w:vAlign w:val="center"/>
          </w:tcPr>
          <w:p>
            <w:pPr>
              <w:spacing w:after="0"/>
            </w:pPr>
            <w:r>
              <w:t>Online in D2L; multiple-choice/short answer; 48-hour window; 2-hour limit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>
              <w:t>Final Exam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t>50</w:t>
            </w:r>
          </w:p>
        </w:tc>
        <w:tc>
          <w:tcPr>
            <w:tcW w:type="dxa" w:w="5904"/>
            <w:vAlign w:val="center"/>
          </w:tcPr>
          <w:p>
            <w:pPr>
              <w:spacing w:after="0"/>
            </w:pPr>
            <w:r>
              <w:t>Online in D2L; multiple-choice/short answer; 48-hour window; 2-hour limit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>
              <w:t>Attendance / Participation / Preparation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t>20</w:t>
            </w:r>
          </w:p>
        </w:tc>
        <w:tc>
          <w:tcPr>
            <w:tcW w:type="dxa" w:w="5904"/>
            <w:vAlign w:val="center"/>
          </w:tcPr>
          <w:p>
            <w:pPr>
              <w:spacing w:after="0"/>
            </w:pPr>
            <w:r>
              <w:t>Active, prepared, professional participation throughout the semester</w:t>
            </w:r>
          </w:p>
        </w:tc>
      </w:tr>
    </w:tbl>
    <w:p>
      <w:pPr>
        <w:spacing w:after="0"/>
      </w:pPr>
    </w:p>
    <w:p>
      <w:pPr>
        <w:pStyle w:val="Heading1"/>
      </w:pPr>
      <w:r>
        <w:t>Grading &amp; Late Work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1728"/>
            <w:shd w:fill="1F4E78"/>
          </w:tcPr>
          <w:p>
            <w:r>
              <w:t>Grade</w:t>
            </w:r>
          </w:p>
        </w:tc>
        <w:tc>
          <w:tcPr>
            <w:tcW w:type="dxa" w:w="2160"/>
            <w:shd w:fill="1F4E78"/>
          </w:tcPr>
          <w:p>
            <w:r>
              <w:t>Percentage</w:t>
            </w:r>
          </w:p>
        </w:tc>
        <w:tc>
          <w:tcPr>
            <w:tcW w:type="dxa" w:w="2160"/>
            <w:shd w:fill="1F4E78"/>
          </w:tcPr>
          <w:p>
            <w:r>
              <w:t>Points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>
              <w:t>A</w:t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t>90–100%</w:t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t>270–300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>
              <w:t>B</w:t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t>80–89%</w:t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t>240–269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>
              <w:t>C</w:t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t>70–79%</w:t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t>210–239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>
              <w:t>D</w:t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t>60–69%</w:t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t>180–209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>
              <w:t>F</w:t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t>&lt;59%</w:t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>
              <w:t>&lt;179</w:t>
            </w:r>
          </w:p>
        </w:tc>
      </w:tr>
    </w:tbl>
    <w:p>
      <w:pPr>
        <w:spacing w:after="0"/>
      </w:pPr>
    </w:p>
    <w:p>
      <w:r>
        <w:rPr>
          <w:b/>
        </w:rPr>
        <w:t xml:space="preserve">Total course points: 300. </w:t>
      </w:r>
      <w:r>
        <w:t>Late work: 10% deducted per day late; work more than one week late receives a zero. Grade concerns should first be discussed with the instructor; university grade-appeal procedures apply.</w:t>
      </w:r>
    </w:p>
    <w:p>
      <w:pPr>
        <w:pStyle w:val="Heading1"/>
      </w:pPr>
      <w:r>
        <w:t>Essential Course / Program Policies</w:t>
      </w:r>
    </w:p>
    <w:p>
      <w:pPr>
        <w:pStyle w:val="ListBullet"/>
        <w:spacing w:after="20"/>
        <w:ind w:left="288"/>
      </w:pPr>
      <w:r>
        <w:t>Remediation &amp; Professional Dispositions: Students who do not meet academic, clinical, ethical, interpersonal, or professional expectations may be placed on a remediation plan and are subject to program retention/dismissal procedures.</w:t>
      </w:r>
    </w:p>
    <w:p>
      <w:pPr>
        <w:pStyle w:val="ListBullet"/>
        <w:spacing w:after="20"/>
        <w:ind w:left="288"/>
      </w:pPr>
      <w:r>
        <w:t>Technology: D2L is the course learning-management system. Students are responsible for reliable access to D2L, university email, internet, and standard productivity tools; contact the ETAMU IT Helpdesk for technical assistance.</w:t>
      </w:r>
    </w:p>
    <w:p>
      <w:pPr>
        <w:pStyle w:val="ListBullet"/>
        <w:spacing w:after="20"/>
        <w:ind w:left="288"/>
      </w:pPr>
      <w:r>
        <w:t>Communication: Course communication occurs through university email and D2L announcements. Include the course name/subject, professional salutation, proper grammar, and your name/CWID in instructor emails.</w:t>
      </w:r>
    </w:p>
    <w:p>
      <w:pPr>
        <w:pStyle w:val="ListBullet"/>
        <w:spacing w:after="20"/>
        <w:ind w:left="288"/>
      </w:pPr>
      <w:r>
        <w:t>Social Media / Professional Conduct: Counselors-in-training are expected to maintain professional and ethical conduct online and offline consistent with the ACA Code of Ethics.</w:t>
      </w:r>
    </w:p>
    <w:p>
      <w:pPr>
        <w:pStyle w:val="ListBullet"/>
        <w:spacing w:after="20"/>
        <w:ind w:left="288"/>
      </w:pPr>
      <w:r>
        <w:t>Syllabus Changes: The syllabus is a guide and may be modified as needed; changes will be announced in advance.</w:t>
      </w:r>
    </w:p>
    <w:p>
      <w:pPr>
        <w:pStyle w:val="ListBullet"/>
        <w:spacing w:after="20"/>
        <w:ind w:left="288"/>
      </w:pPr>
      <w:r>
        <w:t>University Policies: Students are responsible for university requirements concerning student conduct, attendance, academic integrity, disability accommodations, nondiscrimination, campus safety/concealed carry, mental-health resources, and graduate academic procedures. Refer to the current East Texas A&amp;M University policies and Student Guidebook.</w:t>
      </w:r>
    </w:p>
    <w:p>
      <w:pPr>
        <w:pStyle w:val="ListBullet"/>
        <w:spacing w:after="20"/>
        <w:ind w:left="288"/>
      </w:pPr>
      <w:r>
        <w:t>AI Use: AI/ChatBot use must follow instructor and university requirements. Any permitted use must be documented; undocumented or prohibited use may constitute academic dishonesty. Students remain responsible for the accuracy, originality, and sources in submitted work.</w:t>
      </w:r>
    </w:p>
    <w:p>
      <w:pPr>
        <w:pStyle w:val="Heading1"/>
      </w:pPr>
      <w:r>
        <w:t>Course Calendar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864"/>
            <w:shd w:fill="1F4E78"/>
          </w:tcPr>
          <w:p>
            <w:r>
              <w:t>Week</w:t>
            </w:r>
          </w:p>
        </w:tc>
        <w:tc>
          <w:tcPr>
            <w:tcW w:type="dxa" w:w="5472"/>
            <w:shd w:fill="1F4E78"/>
          </w:tcPr>
          <w:p>
            <w:r>
              <w:t>Topic / Activity</w:t>
            </w:r>
          </w:p>
        </w:tc>
        <w:tc>
          <w:tcPr>
            <w:tcW w:type="dxa" w:w="3744"/>
            <w:shd w:fill="1F4E78"/>
          </w:tcPr>
          <w:p>
            <w:r>
              <w:t>Readings / Major Dates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1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Course overview; foundations; counselor identity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>
              <w:t>Erford 1; Corey 1–2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2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Organizations, credentialing, labor market, self-care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>
              <w:t>Erford 2; professional websites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3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Ethical/legal issues; counselor as person/professional; values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>
              <w:t>Erford 3; Corey 1–3; ACA Ethics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4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Multicultural counseling and diversity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>
              <w:t>Erford 4; Corey 4; ACA Ethics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5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Counseling theories / theory-practice issues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>
              <w:t>Erford 5; Corey 10 | Interest Paper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6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Counseling process; client rights; confidentiality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>
              <w:t>Erford 6; Corey 5–6; ACA Ethics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7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Microskills; boundaries and multiple relationships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>
              <w:t>Erford 7; Corey 7; ACA Ethics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8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Crisis prevention/intervention; competence and training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>
              <w:t>Erford 8; Corey 8 | Midterm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9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Mental health/rehabilitation; specialty areas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>
              <w:t>Erford 9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10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School, college, career; specialty areas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>
              <w:t>Erford 10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11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Human development; career/private practice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>
              <w:t>Erford 11 | Article Critique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12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Assessment, diagnosis, case conceptualization, treatment planning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>
              <w:t>Erford 12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13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Supervision, consultation, ethics; presentations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>
              <w:t>Erford 13; Corey 9 | Interview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14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Advocacy, social justice; presentations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>
              <w:t>Erford 14; Corey 13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—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Thanksgiving Break — Campus Closed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/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15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Advocacy for profession; accountability/outcome research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>
              <w:t>Erford 15–17 | Reflective Journal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>
              <w:t>16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>
              <w:t>Final exam; wrap-up and reflection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>
              <w:t>Final Exam</w:t>
            </w:r>
          </w:p>
        </w:tc>
      </w:tr>
    </w:tbl>
    <w:p>
      <w:pPr>
        <w:spacing w:after="0"/>
      </w:pPr>
    </w:p>
    <w:p>
      <w:r>
        <w:rPr>
          <w:i/>
        </w:rPr>
        <w:t>Calendar is subject to change.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COUN 501 • Fall 2026 • Condensed Student Syllabus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before="4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60" w:line="240" w:lineRule="auto" w:before="4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60" w:line="240" w:lineRule="auto" w:before="4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1F3E67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2D5B86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6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40" w:after="6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40" w:after="6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40" w:after="6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40" w:after="6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40" w:after="6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40" w:after="6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pPr>
      <w:spacing w:after="60" w:before="4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60" w:line="240" w:lineRule="auto" w:before="40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 w:before="40"/>
      <w:contextualSpacing/>
    </w:pPr>
    <w:rPr>
      <w:rFonts w:asciiTheme="majorHAnsi" w:eastAsiaTheme="majorEastAsia" w:hAnsiTheme="majorHAnsi" w:cstheme="majorBidi" w:ascii="Arial" w:hAnsi="Arial"/>
      <w:b/>
      <w:color w:val="1F3E67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60" w:before="4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after="60" w:before="40"/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60" w:before="4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60" w:line="480" w:lineRule="auto" w:before="40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60" w:before="4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spacing w:after="60" w:before="40"/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spacing w:after="60" w:before="40"/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spacing w:after="60" w:before="40"/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before="4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60" w:before="4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spacing w:after="60" w:before="4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before="4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spacing w:after="60" w:before="4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spacing w:after="60" w:before="4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60" w:before="4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60" w:before="4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60" w:before="4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60" w:before="40"/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spacing w:after="60" w:before="4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after="60" w:before="40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40" w:after="6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spacing w:after="60" w:before="40"/>
      <w:outlineLvl w:val="9"/>
    </w:pPr>
  </w:style>
  <w:style w:type="table" w:styleId="TableGrid">
    <w:name w:val="Table Grid"/>
    <w:basedOn w:val="TableNormal"/>
    <w:uiPriority w:val="59"/>
    <w:rsid w:val="00FC693F"/>
    <w:pPr>
      <w:spacing w:after="60" w:line="240" w:lineRule="auto" w:before="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60" w:line="240" w:lineRule="auto" w:before="4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60" w:line="240" w:lineRule="auto" w:before="40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60" w:line="240" w:lineRule="auto" w:before="40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60" w:line="240" w:lineRule="auto" w:before="40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60" w:line="240" w:lineRule="auto" w:before="40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60" w:line="240" w:lineRule="auto" w:before="40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60" w:line="240" w:lineRule="auto" w:before="40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60" w:line="240" w:lineRule="auto" w:before="4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60" w:line="240" w:lineRule="auto" w:before="4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60" w:line="240" w:lineRule="auto" w:before="4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60" w:line="240" w:lineRule="auto" w:before="4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60" w:line="240" w:lineRule="auto" w:before="4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60" w:line="240" w:lineRule="auto" w:before="4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60" w:line="240" w:lineRule="auto" w:before="4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60" w:line="240" w:lineRule="auto" w:before="4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60" w:line="240" w:lineRule="auto" w:before="4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60" w:line="240" w:lineRule="auto" w:before="4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60" w:line="240" w:lineRule="auto" w:before="4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60" w:line="240" w:lineRule="auto" w:before="4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60" w:line="240" w:lineRule="auto" w:before="4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60" w:line="240" w:lineRule="auto" w:before="4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60" w:line="240" w:lineRule="auto" w:before="4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60" w:line="240" w:lineRule="auto" w:before="4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60" w:line="240" w:lineRule="auto" w:before="4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60" w:line="240" w:lineRule="auto" w:before="4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60" w:line="240" w:lineRule="auto" w:before="4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60" w:line="240" w:lineRule="auto" w:before="4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60" w:line="240" w:lineRule="auto" w:before="4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60" w:line="240" w:lineRule="auto" w:before="4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60" w:line="240" w:lineRule="auto" w:before="4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